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1554480" cy="1554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Helvetica" w:hAnsi="Helvetica"/>
          <w:color w:val="3A3A3A"/>
          <w:sz w:val="16"/>
        </w:rPr>
        <w:t>923 S. Alamo St., Suite 2 · San Antonio, TX 78205 · (210) 236-1441 · info@forrestgoodpllc.com</w:t>
      </w:r>
    </w:p>
    <w:p>
      <w:pPr>
        <w:spacing w:after="160"/>
        <w:pBdr>
          <w:bottom w:val="single" w:sz="12" w:space="1" w:color="C8A45E"/>
        </w:pBdr>
      </w:pPr>
    </w:p>
    <w:p>
      <w:pPr>
        <w:jc w:val="center"/>
      </w:pPr>
      <w:r>
        <w:rPr>
          <w:rFonts w:ascii="Helvetica" w:hAnsi="Helvetica"/>
          <w:b/>
          <w:color w:val="A8843F"/>
          <w:sz w:val="18"/>
        </w:rPr>
        <w:t>BEXAR COUNTY CLIENT WORKSHEET</w:t>
      </w:r>
    </w:p>
    <w:p>
      <w:pPr>
        <w:spacing w:after="40"/>
        <w:jc w:val="center"/>
      </w:pPr>
      <w:r>
        <w:rPr>
          <w:b/>
          <w:sz w:val="44"/>
        </w:rPr>
        <w:t>Arraignment Preparation Checklist</w:t>
      </w:r>
    </w:p>
    <w:p>
      <w:pPr>
        <w:spacing w:after="160"/>
        <w:jc w:val="center"/>
      </w:pPr>
      <w:r>
        <w:rPr>
          <w:color w:val="3A3A3A"/>
          <w:sz w:val="22"/>
        </w:rPr>
        <w:t>A short checklist to prepare for an arraignment in Bexar County, the step where the charge is read and a plea is entered.</w:t>
      </w:r>
    </w:p>
    <w:p>
      <w:pPr>
        <w:spacing w:before="240" w:after="80"/>
        <w:pBdr>
          <w:bottom w:val="single" w:sz="6" w:space="1" w:color="E6DEC9"/>
        </w:pBdr>
      </w:pPr>
      <w:r>
        <w:rPr>
          <w:b/>
          <w:color w:val="101010"/>
          <w:sz w:val="28"/>
        </w:rPr>
        <w:t>Your arraignment</w:t>
      </w:r>
    </w:p>
    <w:p>
      <w:pPr>
        <w:spacing w:after="20"/>
      </w:pPr>
      <w:r>
        <w:rPr>
          <w:rFonts w:ascii="Helvetica" w:hAnsi="Helvetica"/>
          <w:b/>
          <w:color w:val="3A3A3A"/>
          <w:sz w:val="16"/>
        </w:rPr>
        <w:t>ARRAIGNMENT DATE AND TIME</w:t>
      </w:r>
    </w:p>
    <w:p>
      <w:pPr>
        <w:spacing w:before="40" w:after="160"/>
        <w:pBdr>
          <w:bottom w:val="single" w:sz="6" w:space="1" w:color="B9B09A"/>
        </w:pBdr>
      </w:pPr>
    </w:p>
    <w:p>
      <w:pPr>
        <w:spacing w:after="20"/>
      </w:pPr>
      <w:r>
        <w:rPr>
          <w:rFonts w:ascii="Helvetica" w:hAnsi="Helvetica"/>
          <w:b/>
          <w:color w:val="3A3A3A"/>
          <w:sz w:val="16"/>
        </w:rPr>
        <w:t>COURT AND ROOM NUMBER</w:t>
      </w:r>
    </w:p>
    <w:p>
      <w:pPr>
        <w:spacing w:before="40" w:after="160"/>
        <w:pBdr>
          <w:bottom w:val="single" w:sz="6" w:space="1" w:color="B9B09A"/>
        </w:pBdr>
      </w:pPr>
    </w:p>
    <w:p>
      <w:pPr>
        <w:spacing w:after="20"/>
      </w:pPr>
      <w:r>
        <w:rPr>
          <w:rFonts w:ascii="Helvetica" w:hAnsi="Helvetica"/>
          <w:b/>
          <w:color w:val="3A3A3A"/>
          <w:sz w:val="16"/>
        </w:rPr>
        <w:t>CAUSE OR CASE NUMBER</w:t>
      </w:r>
    </w:p>
    <w:p>
      <w:pPr>
        <w:spacing w:before="40" w:after="160"/>
        <w:pBdr>
          <w:bottom w:val="single" w:sz="6" w:space="1" w:color="B9B09A"/>
        </w:pBdr>
      </w:pPr>
    </w:p>
    <w:p>
      <w:pPr>
        <w:spacing w:after="20"/>
      </w:pPr>
      <w:r>
        <w:rPr>
          <w:rFonts w:ascii="Helvetica" w:hAnsi="Helvetica"/>
          <w:b/>
          <w:color w:val="3A3A3A"/>
          <w:sz w:val="16"/>
        </w:rPr>
        <w:t>DO YOU ALREADY HAVE A LAWYER FOR THIS CASE?</w:t>
      </w:r>
    </w:p>
    <w:p>
      <w:pPr>
        <w:spacing w:before="40" w:after="160"/>
        <w:pBdr>
          <w:bottom w:val="single" w:sz="6" w:space="1" w:color="B9B09A"/>
        </w:pBdr>
      </w:pPr>
    </w:p>
    <w:p>
      <w:pPr>
        <w:spacing w:before="240" w:after="80"/>
        <w:pBdr>
          <w:bottom w:val="single" w:sz="6" w:space="1" w:color="E6DEC9"/>
        </w:pBdr>
      </w:pPr>
      <w:r>
        <w:rPr>
          <w:b/>
          <w:color w:val="101010"/>
          <w:sz w:val="28"/>
        </w:rPr>
        <w:t>What an arraignment is</w:t>
      </w:r>
    </w:p>
    <w:p>
      <w:r>
        <w:rPr>
          <w:color w:val="3A3A3A"/>
          <w:sz w:val="22"/>
        </w:rPr>
        <w:t>After an arrest, a magistrate gives a set of warnings, including the right to counsel and the right to remain silent. At arraignment, the formal charging instrument is read and a plea is entered. A person who is not represented is entitled to have counsel, and to time to consult with that lawyer before entering a plea.</w:t>
      </w:r>
    </w:p>
    <w:p>
      <w:pPr>
        <w:spacing w:before="240" w:after="80"/>
        <w:pBdr>
          <w:bottom w:val="single" w:sz="6" w:space="1" w:color="E6DEC9"/>
        </w:pBdr>
      </w:pPr>
      <w:r>
        <w:rPr>
          <w:b/>
          <w:color w:val="101010"/>
          <w:sz w:val="28"/>
        </w:rPr>
        <w:t>Before you go</w:t>
      </w:r>
    </w:p>
    <w:p>
      <w:pPr>
        <w:spacing w:after="80"/>
        <w:ind w:left="80"/>
      </w:pPr>
      <w:r>
        <w:rPr>
          <w:color w:val="A8843F"/>
          <w:sz w:val="26"/>
        </w:rPr>
        <w:t xml:space="preserve">❑  </w:t>
      </w:r>
      <w:r>
        <w:rPr>
          <w:sz w:val="22"/>
        </w:rPr>
        <w:t>Confirm the date, time, court, and room number on the notice</w:t>
      </w:r>
    </w:p>
    <w:p>
      <w:pPr>
        <w:spacing w:after="80"/>
        <w:ind w:left="80"/>
      </w:pPr>
      <w:r>
        <w:rPr>
          <w:color w:val="A8843F"/>
          <w:sz w:val="26"/>
        </w:rPr>
        <w:t xml:space="preserve">❑  </w:t>
      </w:r>
      <w:r>
        <w:rPr>
          <w:sz w:val="22"/>
        </w:rPr>
        <w:t>Plan to arrive early and allow time for security screening</w:t>
      </w:r>
    </w:p>
    <w:p>
      <w:pPr>
        <w:spacing w:after="80"/>
        <w:ind w:left="80"/>
      </w:pPr>
      <w:r>
        <w:rPr>
          <w:color w:val="A8843F"/>
          <w:sz w:val="26"/>
        </w:rPr>
        <w:t xml:space="preserve">❑  </w:t>
      </w:r>
      <w:r>
        <w:rPr>
          <w:sz w:val="22"/>
        </w:rPr>
        <w:t>Bring a photo ID, the cause or case number, and every court notice received</w:t>
      </w:r>
    </w:p>
    <w:p>
      <w:pPr>
        <w:spacing w:after="80"/>
        <w:ind w:left="80"/>
      </w:pPr>
      <w:r>
        <w:rPr>
          <w:color w:val="A8843F"/>
          <w:sz w:val="26"/>
        </w:rPr>
        <w:t xml:space="preserve">❑  </w:t>
      </w:r>
      <w:r>
        <w:rPr>
          <w:sz w:val="22"/>
        </w:rPr>
        <w:t>Bring a written list of questions</w:t>
      </w:r>
    </w:p>
    <w:p>
      <w:pPr>
        <w:spacing w:after="80"/>
        <w:ind w:left="80"/>
      </w:pPr>
      <w:r>
        <w:rPr>
          <w:color w:val="A8843F"/>
          <w:sz w:val="26"/>
        </w:rPr>
        <w:t xml:space="preserve">❑  </w:t>
      </w:r>
      <w:r>
        <w:rPr>
          <w:sz w:val="22"/>
        </w:rPr>
        <w:t>If a lawyer represents you, confirm whether to appear and where to meet</w:t>
      </w:r>
    </w:p>
    <w:p>
      <w:pPr>
        <w:spacing w:after="80"/>
        <w:ind w:left="80"/>
      </w:pPr>
      <w:r>
        <w:rPr>
          <w:color w:val="A8843F"/>
          <w:sz w:val="26"/>
        </w:rPr>
        <w:t xml:space="preserve">❑  </w:t>
      </w:r>
      <w:r>
        <w:rPr>
          <w:sz w:val="22"/>
        </w:rPr>
        <w:t>Do not bring weapons or prohibited items into the courthouse</w:t>
      </w:r>
    </w:p>
    <w:p>
      <w:pPr>
        <w:spacing w:before="240" w:after="80"/>
        <w:pBdr>
          <w:bottom w:val="single" w:sz="6" w:space="1" w:color="E6DEC9"/>
        </w:pBdr>
      </w:pPr>
      <w:r>
        <w:rPr>
          <w:b/>
          <w:color w:val="101010"/>
          <w:sz w:val="28"/>
        </w:rPr>
        <w:t>Questions to ask</w:t>
      </w:r>
    </w:p>
    <w:p>
      <w:r>
        <w:rPr>
          <w:color w:val="3A3A3A"/>
          <w:sz w:val="22"/>
        </w:rPr>
        <w:t>Write the questions to be answered before a plea is entered.</w:t>
      </w:r>
    </w:p>
    <w:p>
      <w:pPr>
        <w:spacing w:before="40" w:after="160"/>
        <w:pBdr>
          <w:bottom w:val="single" w:sz="6" w:space="1" w:color="B9B09A"/>
        </w:pBdr>
      </w:pPr>
    </w:p>
    <w:p>
      <w:pPr>
        <w:spacing w:before="40" w:after="160"/>
        <w:pBdr>
          <w:bottom w:val="single" w:sz="6" w:space="1" w:color="B9B09A"/>
        </w:pBdr>
      </w:pPr>
    </w:p>
    <w:p>
      <w:pPr>
        <w:spacing w:before="40" w:after="160"/>
        <w:pBdr>
          <w:bottom w:val="single" w:sz="6" w:space="1" w:color="B9B09A"/>
        </w:pBdr>
      </w:pPr>
    </w:p>
    <w:p>
      <w:pPr>
        <w:spacing w:before="240" w:after="80"/>
        <w:pBdr>
          <w:bottom w:val="single" w:sz="6" w:space="1" w:color="E6DEC9"/>
        </w:pBdr>
      </w:pPr>
      <w:r>
        <w:rPr>
          <w:b/>
          <w:color w:val="101010"/>
          <w:sz w:val="28"/>
        </w:rPr>
        <w:t>Know where you stand</w:t>
      </w:r>
    </w:p>
    <w:p>
      <w:r>
        <w:rPr>
          <w:color w:val="3A3A3A"/>
          <w:sz w:val="22"/>
        </w:rPr>
        <w:t>A person charged with a crime has the right to a lawyer. A person is presumed innocent, and the State must prove every element of the charge beyond a reasonable doubt. Any Texas attorney's license and standing can be confirmed through the State Bar of Texas.</w:t>
      </w:r>
    </w:p>
    <w:p>
      <w:pPr>
        <w:spacing w:before="280"/>
        <w:pBdr>
          <w:top w:val="single" w:sz="12" w:space="1" w:color="C8A45E"/>
        </w:pBdr>
      </w:pPr>
      <w:r>
        <w:rPr>
          <w:b/>
          <w:sz w:val="24"/>
        </w:rPr>
        <w:t>Sources</w:t>
      </w:r>
    </w:p>
    <w:p>
      <w:pPr>
        <w:spacing w:after="40"/>
        <w:ind w:left="280"/>
      </w:pPr>
      <w:r>
        <w:rPr>
          <w:color w:val="3A3A3A"/>
          <w:sz w:val="17"/>
        </w:rPr>
        <w:t xml:space="preserve">1. </w:t>
      </w:r>
      <w:r>
        <w:rPr>
          <w:color w:val="3A3A3A"/>
          <w:sz w:val="17"/>
        </w:rPr>
        <w:t xml:space="preserve">Tex. Code Crim. Proc. art. 15.17 (magistrate's warnings after arrest)  </w:t>
      </w:r>
      <w:hyperlink r:id="rId10">
        <w:r>
          <w:rPr>
            <w:color w:val="A8843F"/>
            <w:u w:val="single"/>
            <w:sz w:val="18"/>
          </w:rPr>
          <w:t xml:space="preserve">[source]</w:t>
        </w:r>
      </w:hyperlink>
    </w:p>
    <w:p>
      <w:pPr>
        <w:spacing w:after="40"/>
        <w:ind w:left="280"/>
      </w:pPr>
      <w:r>
        <w:rPr>
          <w:color w:val="3A3A3A"/>
          <w:sz w:val="17"/>
        </w:rPr>
        <w:t xml:space="preserve">2. </w:t>
      </w:r>
      <w:r>
        <w:rPr>
          <w:color w:val="3A3A3A"/>
          <w:sz w:val="17"/>
        </w:rPr>
        <w:t xml:space="preserve">Tex. Code Crim. Proc. art. 26.01 (arraignment)  </w:t>
      </w:r>
      <w:hyperlink r:id="rId11">
        <w:r>
          <w:rPr>
            <w:color w:val="A8843F"/>
            <w:u w:val="single"/>
            <w:sz w:val="18"/>
          </w:rPr>
          <w:t xml:space="preserve">[source]</w:t>
        </w:r>
      </w:hyperlink>
    </w:p>
    <w:p>
      <w:pPr>
        <w:spacing w:after="40"/>
        <w:ind w:left="280"/>
      </w:pPr>
      <w:r>
        <w:rPr>
          <w:color w:val="3A3A3A"/>
          <w:sz w:val="17"/>
        </w:rPr>
        <w:t xml:space="preserve">3. </w:t>
      </w:r>
      <w:r>
        <w:rPr>
          <w:color w:val="3A3A3A"/>
          <w:sz w:val="17"/>
        </w:rPr>
        <w:t xml:space="preserve">Tex. Code Crim. Proc. art. 26.02 (purpose of arraignment; fixing identity and entering a plea)  </w:t>
      </w:r>
      <w:hyperlink r:id="rId12">
        <w:r>
          <w:rPr>
            <w:color w:val="A8843F"/>
            <w:u w:val="single"/>
            <w:sz w:val="18"/>
          </w:rPr>
          <w:t xml:space="preserve">[source]</w:t>
        </w:r>
      </w:hyperlink>
    </w:p>
    <w:p>
      <w:pPr>
        <w:spacing w:after="40"/>
        <w:ind w:left="280"/>
      </w:pPr>
      <w:r>
        <w:rPr>
          <w:color w:val="3A3A3A"/>
          <w:sz w:val="17"/>
        </w:rPr>
        <w:t xml:space="preserve">4. </w:t>
      </w:r>
      <w:r>
        <w:rPr>
          <w:color w:val="3A3A3A"/>
          <w:sz w:val="17"/>
        </w:rPr>
        <w:t xml:space="preserve">Tex. Code Crim. Proc. art. 1.051 (right to representation by counsel)  </w:t>
      </w:r>
      <w:hyperlink r:id="rId13">
        <w:r>
          <w:rPr>
            <w:color w:val="A8843F"/>
            <w:u w:val="single"/>
            <w:sz w:val="18"/>
          </w:rPr>
          <w:t xml:space="preserve">[source]</w:t>
        </w:r>
      </w:hyperlink>
    </w:p>
    <w:p>
      <w:pPr>
        <w:spacing w:after="40"/>
        <w:ind w:left="280"/>
      </w:pPr>
      <w:r>
        <w:rPr>
          <w:color w:val="3A3A3A"/>
          <w:sz w:val="17"/>
        </w:rPr>
        <w:t xml:space="preserve">5. </w:t>
      </w:r>
      <w:r>
        <w:rPr>
          <w:color w:val="3A3A3A"/>
          <w:sz w:val="17"/>
        </w:rPr>
        <w:t xml:space="preserve">Tex. Penal Code Sec. 2.01 (presumption of innocence; proof beyond a reasonable doubt)  </w:t>
      </w:r>
      <w:hyperlink r:id="rId14">
        <w:r>
          <w:rPr>
            <w:color w:val="A8843F"/>
            <w:u w:val="single"/>
            <w:sz w:val="18"/>
          </w:rPr>
          <w:t xml:space="preserve">[source]</w:t>
        </w:r>
      </w:hyperlink>
    </w:p>
    <w:p>
      <w:pPr>
        <w:spacing w:after="40"/>
        <w:ind w:left="280"/>
      </w:pPr>
      <w:r>
        <w:rPr>
          <w:color w:val="3A3A3A"/>
          <w:sz w:val="17"/>
        </w:rPr>
        <w:t xml:space="preserve">6. </w:t>
      </w:r>
      <w:r>
        <w:rPr>
          <w:color w:val="3A3A3A"/>
          <w:sz w:val="17"/>
        </w:rPr>
        <w:t xml:space="preserve">State Bar of Texas, Find a Lawyer (verify an attorney's license and standing)  </w:t>
      </w:r>
      <w:hyperlink r:id="rId15">
        <w:r>
          <w:rPr>
            <w:color w:val="A8843F"/>
            <w:u w:val="single"/>
            <w:sz w:val="18"/>
          </w:rPr>
          <w:t xml:space="preserve">[source]</w:t>
        </w:r>
      </w:hyperlink>
    </w:p>
    <w:p>
      <w:pPr>
        <w:spacing w:before="280"/>
        <w:shd w:val="clear" w:color="auto" w:fill="F1ECE0"/>
        <w:pBdr>
          <w:top w:val="single" w:sz="4" w:space="1" w:color="E6DEC9"/>
          <w:bottom w:val="single" w:sz="4" w:space="1" w:color="E6DEC9"/>
          <w:left w:val="single" w:sz="4" w:space="1" w:color="E6DEC9"/>
          <w:right w:val="single" w:sz="4" w:space="1" w:color="E6DEC9"/>
        </w:pBdr>
      </w:pPr>
      <w:r>
        <w:rPr>
          <w:rFonts w:ascii="Helvetica" w:hAnsi="Helvetica"/>
          <w:color w:val="52503F"/>
          <w:sz w:val="16"/>
        </w:rPr>
        <w:t>Attorney Advertising. This worksheet is a general client resource from the Law Office of Forrest Good PLLC and is not legal advice. Reading or using it does not create an attorney-client relationship, which is formed only by a signed engagement agreement. Forrest Good PLLC, responsible attorney. Forrest Good is not certified by the Texas Board of Legal Specialization. Prior results do not guarantee a similar outcome. Provided under the Texas Disciplinary Rules of Professional Conduct 7.01 to 7.06.</w:t>
      </w:r>
    </w:p>
    <w:sectPr w:rsidR="00FC693F" w:rsidRPr="0006063C" w:rsidSect="00034616">
      <w:pgSz w:w="12240" w:h="15840"/>
      <w:pgMar w:top="792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color w:val="10101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statutes.capitol.texas.gov/Docs/CR/htm/CR.15.htm#15.17" TargetMode="External"/><Relationship Id="rId11" Type="http://schemas.openxmlformats.org/officeDocument/2006/relationships/hyperlink" Target="https://statutes.capitol.texas.gov/Docs/CR/htm/CR.26.htm#26.01" TargetMode="External"/><Relationship Id="rId12" Type="http://schemas.openxmlformats.org/officeDocument/2006/relationships/hyperlink" Target="https://statutes.capitol.texas.gov/Docs/CR/htm/CR.26.htm#26.02" TargetMode="External"/><Relationship Id="rId13" Type="http://schemas.openxmlformats.org/officeDocument/2006/relationships/hyperlink" Target="https://statutes.capitol.texas.gov/Docs/CR/htm/CR.1.htm#1.051" TargetMode="External"/><Relationship Id="rId14" Type="http://schemas.openxmlformats.org/officeDocument/2006/relationships/hyperlink" Target="https://statutes.capitol.texas.gov/Docs/PE/htm/PE.2.htm#2.01" TargetMode="External"/><Relationship Id="rId15" Type="http://schemas.openxmlformats.org/officeDocument/2006/relationships/hyperlink" Target="https://www.texasbar.com/AM/Template.cfm?Section=Find_A_Law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